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5F43" w14:textId="77777777" w:rsidR="00C706A3" w:rsidRDefault="00C706A3">
      <w:pPr>
        <w:jc w:val="center"/>
        <w:rPr>
          <w:b/>
          <w:sz w:val="24"/>
          <w:szCs w:val="24"/>
        </w:rPr>
      </w:pPr>
    </w:p>
    <w:p w14:paraId="6D24F73E" w14:textId="77777777" w:rsidR="005528B0" w:rsidRPr="00722B13" w:rsidRDefault="005528B0" w:rsidP="005528B0">
      <w:pPr>
        <w:jc w:val="center"/>
      </w:pPr>
      <w:r w:rsidRPr="00722B13">
        <w:t>Comunicado de prensa</w:t>
      </w:r>
    </w:p>
    <w:p w14:paraId="00000001" w14:textId="6A1E762C" w:rsidR="007814E1" w:rsidRPr="00722B13" w:rsidRDefault="003B7CE0">
      <w:pPr>
        <w:jc w:val="center"/>
        <w:rPr>
          <w:b/>
        </w:rPr>
      </w:pPr>
      <w:r w:rsidRPr="00722B13">
        <w:rPr>
          <w:b/>
        </w:rPr>
        <w:t>Piloto de análisis de escenarios climáticos para el sector financiero mexicano 2024-2025</w:t>
      </w:r>
    </w:p>
    <w:p w14:paraId="00000003" w14:textId="77777777" w:rsidR="007814E1" w:rsidRDefault="007814E1">
      <w:pPr>
        <w:jc w:val="both"/>
        <w:rPr>
          <w:b/>
          <w:i/>
          <w:sz w:val="20"/>
          <w:szCs w:val="20"/>
        </w:rPr>
      </w:pPr>
    </w:p>
    <w:p w14:paraId="00000004" w14:textId="22C78B4B" w:rsidR="007814E1" w:rsidRPr="00EE1C11" w:rsidRDefault="005528B0" w:rsidP="00EF03D2">
      <w:pPr>
        <w:spacing w:after="80"/>
        <w:rPr>
          <w:b/>
          <w:i/>
          <w:sz w:val="20"/>
          <w:szCs w:val="20"/>
        </w:rPr>
      </w:pPr>
      <w:r>
        <w:rPr>
          <w:b/>
          <w:i/>
          <w:sz w:val="20"/>
          <w:szCs w:val="20"/>
        </w:rPr>
        <w:t xml:space="preserve">El Consejo Mexicano de Finanzas Sostenibles presenta los </w:t>
      </w:r>
      <w:r w:rsidRPr="00EE1C11">
        <w:rPr>
          <w:b/>
          <w:i/>
          <w:sz w:val="20"/>
          <w:szCs w:val="20"/>
        </w:rPr>
        <w:t>resultados</w:t>
      </w:r>
      <w:r w:rsidR="003B7CE0" w:rsidRPr="00EE1C11">
        <w:rPr>
          <w:b/>
          <w:i/>
          <w:sz w:val="20"/>
          <w:szCs w:val="20"/>
        </w:rPr>
        <w:t xml:space="preserve"> del primer </w:t>
      </w:r>
      <w:r>
        <w:rPr>
          <w:b/>
          <w:i/>
          <w:sz w:val="20"/>
          <w:szCs w:val="20"/>
        </w:rPr>
        <w:t>“</w:t>
      </w:r>
      <w:r w:rsidR="003B7CE0" w:rsidRPr="00EE1C11">
        <w:rPr>
          <w:b/>
          <w:i/>
          <w:sz w:val="20"/>
          <w:szCs w:val="20"/>
        </w:rPr>
        <w:t>Piloto de análisis de escenarios climáticos</w:t>
      </w:r>
      <w:r>
        <w:rPr>
          <w:b/>
          <w:i/>
          <w:sz w:val="20"/>
          <w:szCs w:val="20"/>
        </w:rPr>
        <w:t>”</w:t>
      </w:r>
      <w:r w:rsidR="003B7CE0" w:rsidRPr="00EE1C11">
        <w:rPr>
          <w:b/>
          <w:i/>
          <w:sz w:val="20"/>
          <w:szCs w:val="20"/>
        </w:rPr>
        <w:t xml:space="preserve"> para el sector financiero mexicano 2024-2025</w:t>
      </w:r>
    </w:p>
    <w:p w14:paraId="34306023" w14:textId="77777777" w:rsidR="005528B0" w:rsidRPr="00EF03D2" w:rsidRDefault="005528B0" w:rsidP="00EE1C11">
      <w:pPr>
        <w:spacing w:after="80"/>
        <w:jc w:val="both"/>
        <w:rPr>
          <w:i/>
          <w:sz w:val="2"/>
          <w:szCs w:val="2"/>
        </w:rPr>
      </w:pPr>
    </w:p>
    <w:p w14:paraId="00000005" w14:textId="39568EF9" w:rsidR="007814E1" w:rsidRPr="00EE1C11" w:rsidRDefault="003B7CE0" w:rsidP="00EE1C11">
      <w:pPr>
        <w:spacing w:after="80"/>
        <w:jc w:val="both"/>
        <w:rPr>
          <w:sz w:val="20"/>
          <w:szCs w:val="20"/>
        </w:rPr>
      </w:pPr>
      <w:r w:rsidRPr="00EF03D2">
        <w:rPr>
          <w:b/>
          <w:bCs/>
          <w:i/>
          <w:sz w:val="20"/>
          <w:szCs w:val="20"/>
        </w:rPr>
        <w:t xml:space="preserve">Ciudad de México, </w:t>
      </w:r>
      <w:r w:rsidR="003A126D" w:rsidRPr="00EF03D2">
        <w:rPr>
          <w:b/>
          <w:bCs/>
          <w:i/>
          <w:sz w:val="20"/>
          <w:szCs w:val="20"/>
        </w:rPr>
        <w:t>2</w:t>
      </w:r>
      <w:r w:rsidR="00742DF3">
        <w:rPr>
          <w:b/>
          <w:bCs/>
          <w:i/>
          <w:sz w:val="20"/>
          <w:szCs w:val="20"/>
        </w:rPr>
        <w:t>2</w:t>
      </w:r>
      <w:r w:rsidR="003A126D" w:rsidRPr="00EF03D2">
        <w:rPr>
          <w:b/>
          <w:bCs/>
          <w:i/>
          <w:sz w:val="20"/>
          <w:szCs w:val="20"/>
        </w:rPr>
        <w:t xml:space="preserve"> </w:t>
      </w:r>
      <w:r w:rsidRPr="00EF03D2">
        <w:rPr>
          <w:b/>
          <w:bCs/>
          <w:i/>
          <w:sz w:val="20"/>
          <w:szCs w:val="20"/>
        </w:rPr>
        <w:t>de agosto de 2025</w:t>
      </w:r>
      <w:r w:rsidR="008658C0" w:rsidRPr="00EE1C11">
        <w:rPr>
          <w:i/>
          <w:sz w:val="20"/>
          <w:szCs w:val="20"/>
        </w:rPr>
        <w:t>.</w:t>
      </w:r>
      <w:r w:rsidRPr="00EE1C11">
        <w:rPr>
          <w:sz w:val="20"/>
          <w:szCs w:val="20"/>
        </w:rPr>
        <w:t xml:space="preserve"> </w:t>
      </w:r>
      <w:r w:rsidR="005528B0">
        <w:rPr>
          <w:sz w:val="20"/>
          <w:szCs w:val="20"/>
        </w:rPr>
        <w:t>La Bolsa Mexicana de Valores fue el escenario para la presentación de</w:t>
      </w:r>
      <w:r w:rsidRPr="00EE1C11">
        <w:rPr>
          <w:sz w:val="20"/>
          <w:szCs w:val="20"/>
        </w:rPr>
        <w:t xml:space="preserve"> los resultados del primer </w:t>
      </w:r>
      <w:r w:rsidR="005528B0">
        <w:rPr>
          <w:sz w:val="20"/>
          <w:szCs w:val="20"/>
        </w:rPr>
        <w:t>“</w:t>
      </w:r>
      <w:r w:rsidRPr="00EE1C11">
        <w:rPr>
          <w:i/>
          <w:sz w:val="20"/>
          <w:szCs w:val="20"/>
        </w:rPr>
        <w:t>Piloto de análisis de escenarios climáticos</w:t>
      </w:r>
      <w:r w:rsidR="005528B0">
        <w:rPr>
          <w:i/>
          <w:sz w:val="20"/>
          <w:szCs w:val="20"/>
        </w:rPr>
        <w:t>”</w:t>
      </w:r>
      <w:r w:rsidRPr="00EE1C11">
        <w:rPr>
          <w:i/>
          <w:sz w:val="20"/>
          <w:szCs w:val="20"/>
        </w:rPr>
        <w:t xml:space="preserve"> para el sector financiero mexicano 2024–2025</w:t>
      </w:r>
      <w:r w:rsidR="008658C0" w:rsidRPr="00EE1C11">
        <w:rPr>
          <w:i/>
          <w:sz w:val="20"/>
          <w:szCs w:val="20"/>
        </w:rPr>
        <w:t xml:space="preserve"> (Piloto)</w:t>
      </w:r>
      <w:r w:rsidRPr="00EE1C11">
        <w:rPr>
          <w:sz w:val="20"/>
          <w:szCs w:val="20"/>
        </w:rPr>
        <w:t xml:space="preserve">, un ejercicio </w:t>
      </w:r>
      <w:r w:rsidR="00A16E10" w:rsidRPr="00EE1C11">
        <w:rPr>
          <w:sz w:val="20"/>
          <w:szCs w:val="20"/>
        </w:rPr>
        <w:t xml:space="preserve">impulsado </w:t>
      </w:r>
      <w:r w:rsidRPr="00EE1C11">
        <w:rPr>
          <w:sz w:val="20"/>
          <w:szCs w:val="20"/>
        </w:rPr>
        <w:t xml:space="preserve">en el marco del Comité de Finanzas Sostenibles (CFS) </w:t>
      </w:r>
      <w:r w:rsidR="00A16E10" w:rsidRPr="00EE1C11">
        <w:rPr>
          <w:sz w:val="20"/>
          <w:szCs w:val="20"/>
        </w:rPr>
        <w:t xml:space="preserve">en el que colaboran </w:t>
      </w:r>
      <w:r w:rsidRPr="00EE1C11">
        <w:rPr>
          <w:sz w:val="20"/>
          <w:szCs w:val="20"/>
        </w:rPr>
        <w:t>la Secretaría de Hacienda y Crédito Público (SHCP) y el Banco de México (BANXICO). El ejercicio fue desarrollado en colaboración con el Consejo Mexicano de Finanzas Sostenibles (CMFS), el Consorcio TCFD México, con el apoyo de la Cooperación Técnica Alemana (GIZ)</w:t>
      </w:r>
      <w:r w:rsidR="00722B13">
        <w:rPr>
          <w:sz w:val="20"/>
          <w:szCs w:val="20"/>
        </w:rPr>
        <w:t xml:space="preserve"> </w:t>
      </w:r>
      <w:r w:rsidR="00722B13" w:rsidRPr="00722B13">
        <w:rPr>
          <w:sz w:val="20"/>
          <w:szCs w:val="20"/>
        </w:rPr>
        <w:t>a través del proyecto Financiamiento para la Acción Climática en México (FINACC)</w:t>
      </w:r>
      <w:r w:rsidRPr="00EE1C11">
        <w:rPr>
          <w:sz w:val="20"/>
          <w:szCs w:val="20"/>
        </w:rPr>
        <w:t>, la Agencia Francesa de Desarrollo (AFD) y la Comisión Económica para América Latina y el Caribe (CEPAL).</w:t>
      </w:r>
    </w:p>
    <w:p w14:paraId="5E40733A" w14:textId="02BD2EC3" w:rsidR="00EE1C11" w:rsidRPr="00EE1C11" w:rsidRDefault="00EE1C11" w:rsidP="00EE1C11">
      <w:pPr>
        <w:spacing w:after="80"/>
        <w:jc w:val="both"/>
        <w:rPr>
          <w:sz w:val="20"/>
          <w:szCs w:val="20"/>
        </w:rPr>
      </w:pPr>
      <w:r w:rsidRPr="00EE1C11">
        <w:rPr>
          <w:sz w:val="20"/>
          <w:szCs w:val="20"/>
        </w:rPr>
        <w:t>El Piloto</w:t>
      </w:r>
      <w:r w:rsidR="003B7CE0" w:rsidRPr="00EE1C11">
        <w:rPr>
          <w:sz w:val="20"/>
          <w:szCs w:val="20"/>
        </w:rPr>
        <w:t xml:space="preserve"> </w:t>
      </w:r>
      <w:r w:rsidR="005528B0">
        <w:rPr>
          <w:sz w:val="20"/>
          <w:szCs w:val="20"/>
        </w:rPr>
        <w:t xml:space="preserve">estableció </w:t>
      </w:r>
      <w:r w:rsidR="003B7CE0" w:rsidRPr="00EE1C11">
        <w:rPr>
          <w:sz w:val="20"/>
          <w:szCs w:val="20"/>
        </w:rPr>
        <w:t xml:space="preserve">como objetivo principal fortalecer las capacidades de </w:t>
      </w:r>
      <w:r w:rsidR="003A126D" w:rsidRPr="00EE1C11">
        <w:rPr>
          <w:sz w:val="20"/>
          <w:szCs w:val="20"/>
        </w:rPr>
        <w:t xml:space="preserve">las </w:t>
      </w:r>
      <w:r w:rsidR="003B7CE0" w:rsidRPr="00EE1C11">
        <w:rPr>
          <w:sz w:val="20"/>
          <w:szCs w:val="20"/>
        </w:rPr>
        <w:t xml:space="preserve">instituciones financieras </w:t>
      </w:r>
      <w:r w:rsidR="001A296A" w:rsidRPr="00EE1C11">
        <w:rPr>
          <w:sz w:val="20"/>
          <w:szCs w:val="20"/>
        </w:rPr>
        <w:t xml:space="preserve">participantes </w:t>
      </w:r>
      <w:r w:rsidR="003B7CE0" w:rsidRPr="00EE1C11">
        <w:rPr>
          <w:sz w:val="20"/>
          <w:szCs w:val="20"/>
        </w:rPr>
        <w:t xml:space="preserve">para identificar y evaluar los riesgos climáticos físicos y de transición </w:t>
      </w:r>
      <w:r w:rsidR="005528B0">
        <w:rPr>
          <w:sz w:val="20"/>
          <w:szCs w:val="20"/>
        </w:rPr>
        <w:t xml:space="preserve">en carteras de crédito y portafolios de inversión </w:t>
      </w:r>
      <w:r w:rsidR="003B7CE0" w:rsidRPr="00EE1C11">
        <w:rPr>
          <w:sz w:val="20"/>
          <w:szCs w:val="20"/>
        </w:rPr>
        <w:t xml:space="preserve">mediante el uso de escenarios </w:t>
      </w:r>
      <w:r w:rsidR="003A126D" w:rsidRPr="00EE1C11">
        <w:rPr>
          <w:sz w:val="20"/>
          <w:szCs w:val="20"/>
        </w:rPr>
        <w:t xml:space="preserve">climáticos </w:t>
      </w:r>
      <w:r w:rsidR="003B7CE0" w:rsidRPr="00EE1C11">
        <w:rPr>
          <w:sz w:val="20"/>
          <w:szCs w:val="20"/>
        </w:rPr>
        <w:t xml:space="preserve">y salidas de modelos de evaluación </w:t>
      </w:r>
      <w:r w:rsidR="0050560D">
        <w:rPr>
          <w:sz w:val="20"/>
          <w:szCs w:val="20"/>
        </w:rPr>
        <w:t xml:space="preserve">integrada </w:t>
      </w:r>
      <w:r w:rsidR="003B7CE0" w:rsidRPr="00EE1C11">
        <w:rPr>
          <w:sz w:val="20"/>
          <w:szCs w:val="20"/>
        </w:rPr>
        <w:t>de última generación.</w:t>
      </w:r>
    </w:p>
    <w:p w14:paraId="00000007" w14:textId="336E1B8A" w:rsidR="007814E1" w:rsidRPr="00EE1C11" w:rsidRDefault="005528B0" w:rsidP="00EE1C11">
      <w:pPr>
        <w:spacing w:after="80"/>
        <w:jc w:val="both"/>
        <w:rPr>
          <w:sz w:val="20"/>
          <w:szCs w:val="20"/>
        </w:rPr>
      </w:pPr>
      <w:r>
        <w:rPr>
          <w:sz w:val="20"/>
          <w:szCs w:val="20"/>
        </w:rPr>
        <w:t xml:space="preserve">El </w:t>
      </w:r>
      <w:r w:rsidR="003B7CE0" w:rsidRPr="00EE1C11">
        <w:rPr>
          <w:sz w:val="20"/>
          <w:szCs w:val="20"/>
        </w:rPr>
        <w:t xml:space="preserve"> ejercicio </w:t>
      </w:r>
      <w:r>
        <w:rPr>
          <w:sz w:val="20"/>
          <w:szCs w:val="20"/>
        </w:rPr>
        <w:t xml:space="preserve">tuvo una duración de un año y </w:t>
      </w:r>
      <w:r w:rsidR="006830A1">
        <w:rPr>
          <w:sz w:val="20"/>
          <w:szCs w:val="20"/>
        </w:rPr>
        <w:t xml:space="preserve">contó </w:t>
      </w:r>
      <w:r w:rsidR="003B7CE0" w:rsidRPr="00EE1C11">
        <w:rPr>
          <w:sz w:val="20"/>
          <w:szCs w:val="20"/>
        </w:rPr>
        <w:t xml:space="preserve">con la participación de cinco bancos comerciales, tres instituciones de </w:t>
      </w:r>
      <w:r w:rsidR="003B7CE0" w:rsidRPr="00EF03D2">
        <w:rPr>
          <w:sz w:val="20"/>
          <w:szCs w:val="20"/>
        </w:rPr>
        <w:t>fomento</w:t>
      </w:r>
      <w:r w:rsidR="003B7CE0" w:rsidRPr="00EE1C11">
        <w:rPr>
          <w:sz w:val="20"/>
          <w:szCs w:val="20"/>
        </w:rPr>
        <w:t xml:space="preserve"> y dos Administradoras de Fondos para el Retiro. Para el análisis de riesgos físicos y </w:t>
      </w:r>
      <w:r w:rsidR="00B53653" w:rsidRPr="00EE1C11">
        <w:rPr>
          <w:sz w:val="20"/>
          <w:szCs w:val="20"/>
        </w:rPr>
        <w:t xml:space="preserve">aquellos asociados con la </w:t>
      </w:r>
      <w:r w:rsidR="003B7CE0" w:rsidRPr="00EE1C11">
        <w:rPr>
          <w:sz w:val="20"/>
          <w:szCs w:val="20"/>
        </w:rPr>
        <w:t>transición</w:t>
      </w:r>
      <w:r w:rsidR="00B53653" w:rsidRPr="00EE1C11">
        <w:rPr>
          <w:sz w:val="20"/>
          <w:szCs w:val="20"/>
        </w:rPr>
        <w:t xml:space="preserve"> a </w:t>
      </w:r>
      <w:r w:rsidR="001A296A" w:rsidRPr="00EE1C11">
        <w:rPr>
          <w:sz w:val="20"/>
          <w:szCs w:val="20"/>
        </w:rPr>
        <w:t>una economía baja carbono</w:t>
      </w:r>
      <w:r w:rsidR="003B7CE0" w:rsidRPr="00EE1C11">
        <w:rPr>
          <w:sz w:val="20"/>
          <w:szCs w:val="20"/>
        </w:rPr>
        <w:t xml:space="preserve">, se emplearon salidas de los modelos </w:t>
      </w:r>
      <w:r w:rsidR="001A296A" w:rsidRPr="00EE1C11">
        <w:rPr>
          <w:sz w:val="20"/>
          <w:szCs w:val="20"/>
        </w:rPr>
        <w:t xml:space="preserve">de evaluación integrada </w:t>
      </w:r>
      <w:r w:rsidR="003B7CE0" w:rsidRPr="00EE1C11">
        <w:rPr>
          <w:sz w:val="20"/>
          <w:szCs w:val="20"/>
        </w:rPr>
        <w:t>CLIMRISK</w:t>
      </w:r>
      <w:r w:rsidR="001A296A" w:rsidRPr="00EE1C11">
        <w:rPr>
          <w:sz w:val="20"/>
          <w:szCs w:val="20"/>
        </w:rPr>
        <w:t xml:space="preserve"> </w:t>
      </w:r>
      <w:r w:rsidR="003B7CE0" w:rsidRPr="00EE1C11">
        <w:rPr>
          <w:sz w:val="20"/>
          <w:szCs w:val="20"/>
        </w:rPr>
        <w:t>y Global Change Analysis Model (GCAM</w:t>
      </w:r>
      <w:r w:rsidR="0050560D" w:rsidRPr="00EE1C11">
        <w:rPr>
          <w:sz w:val="20"/>
          <w:szCs w:val="20"/>
        </w:rPr>
        <w:t>)</w:t>
      </w:r>
      <w:r w:rsidR="0050560D">
        <w:rPr>
          <w:sz w:val="20"/>
          <w:szCs w:val="20"/>
        </w:rPr>
        <w:t>, bajo</w:t>
      </w:r>
      <w:r w:rsidR="003B7CE0" w:rsidRPr="00EE1C11">
        <w:rPr>
          <w:sz w:val="20"/>
          <w:szCs w:val="20"/>
        </w:rPr>
        <w:t xml:space="preserve"> cuatro escenarios climáticos </w:t>
      </w:r>
      <w:r w:rsidR="00B06C31" w:rsidRPr="00EE1C11">
        <w:rPr>
          <w:sz w:val="20"/>
          <w:szCs w:val="20"/>
        </w:rPr>
        <w:t xml:space="preserve">propuestos </w:t>
      </w:r>
      <w:r w:rsidR="003B7CE0" w:rsidRPr="00EE1C11">
        <w:rPr>
          <w:sz w:val="20"/>
          <w:szCs w:val="20"/>
        </w:rPr>
        <w:t>por el CFS.</w:t>
      </w:r>
    </w:p>
    <w:p w14:paraId="5F7E5B2B" w14:textId="431958D8" w:rsidR="005A0AFF" w:rsidRPr="00EE1C11" w:rsidRDefault="008658C0" w:rsidP="00EE1C11">
      <w:pPr>
        <w:pStyle w:val="Ttulo3"/>
        <w:keepNext w:val="0"/>
        <w:keepLines w:val="0"/>
        <w:spacing w:before="0"/>
        <w:jc w:val="both"/>
        <w:rPr>
          <w:color w:val="auto"/>
          <w:sz w:val="20"/>
          <w:szCs w:val="20"/>
        </w:rPr>
      </w:pPr>
      <w:r w:rsidRPr="00EE1C11">
        <w:rPr>
          <w:color w:val="auto"/>
          <w:sz w:val="20"/>
          <w:szCs w:val="20"/>
        </w:rPr>
        <w:t>En este</w:t>
      </w:r>
      <w:r w:rsidR="009B1658" w:rsidRPr="00EE1C11">
        <w:rPr>
          <w:color w:val="auto"/>
          <w:sz w:val="20"/>
          <w:szCs w:val="20"/>
        </w:rPr>
        <w:t xml:space="preserve"> ejercicio de capacitación, las </w:t>
      </w:r>
      <w:r w:rsidR="00B06C31" w:rsidRPr="00EE1C11">
        <w:rPr>
          <w:color w:val="auto"/>
          <w:sz w:val="20"/>
          <w:szCs w:val="20"/>
        </w:rPr>
        <w:t>instituciones</w:t>
      </w:r>
      <w:r w:rsidR="009B1658" w:rsidRPr="00EE1C11">
        <w:rPr>
          <w:color w:val="auto"/>
          <w:sz w:val="20"/>
          <w:szCs w:val="20"/>
        </w:rPr>
        <w:t xml:space="preserve"> participantes </w:t>
      </w:r>
      <w:r w:rsidR="00B06C31" w:rsidRPr="00EE1C11">
        <w:rPr>
          <w:color w:val="auto"/>
          <w:sz w:val="20"/>
          <w:szCs w:val="20"/>
        </w:rPr>
        <w:t xml:space="preserve">implementaron la metodología propuesta sobre </w:t>
      </w:r>
      <w:r w:rsidR="009B1658" w:rsidRPr="00EE1C11">
        <w:rPr>
          <w:color w:val="auto"/>
          <w:sz w:val="20"/>
          <w:szCs w:val="20"/>
        </w:rPr>
        <w:t xml:space="preserve">datos reales </w:t>
      </w:r>
      <w:r w:rsidR="00580FD6" w:rsidRPr="00EE1C11">
        <w:rPr>
          <w:color w:val="auto"/>
          <w:sz w:val="20"/>
          <w:szCs w:val="20"/>
        </w:rPr>
        <w:t xml:space="preserve">de </w:t>
      </w:r>
      <w:r w:rsidR="009B1658" w:rsidRPr="00EE1C11">
        <w:rPr>
          <w:color w:val="auto"/>
          <w:sz w:val="20"/>
          <w:szCs w:val="20"/>
        </w:rPr>
        <w:t>sus carteras</w:t>
      </w:r>
      <w:r w:rsidR="00EF03D2">
        <w:rPr>
          <w:color w:val="auto"/>
          <w:sz w:val="20"/>
          <w:szCs w:val="20"/>
        </w:rPr>
        <w:t xml:space="preserve"> y </w:t>
      </w:r>
      <w:r w:rsidR="009B1658" w:rsidRPr="00EE1C11">
        <w:rPr>
          <w:color w:val="auto"/>
          <w:sz w:val="20"/>
          <w:szCs w:val="20"/>
        </w:rPr>
        <w:t>se obtuvieron los siguientes resultados</w:t>
      </w:r>
      <w:bookmarkStart w:id="0" w:name="_g7ih0k1423qu" w:colFirst="0" w:colLast="0"/>
      <w:bookmarkEnd w:id="0"/>
      <w:r w:rsidRPr="00EE1C11">
        <w:rPr>
          <w:color w:val="auto"/>
          <w:sz w:val="20"/>
          <w:szCs w:val="20"/>
        </w:rPr>
        <w:t>:</w:t>
      </w:r>
    </w:p>
    <w:p w14:paraId="00000008" w14:textId="314C845B" w:rsidR="007814E1" w:rsidRPr="00EE1C11" w:rsidRDefault="003B7CE0" w:rsidP="00EE1C11">
      <w:pPr>
        <w:pStyle w:val="Ttulo3"/>
        <w:keepNext w:val="0"/>
        <w:keepLines w:val="0"/>
        <w:spacing w:before="0"/>
        <w:jc w:val="both"/>
        <w:rPr>
          <w:b/>
          <w:color w:val="000000"/>
          <w:sz w:val="20"/>
          <w:szCs w:val="20"/>
        </w:rPr>
      </w:pPr>
      <w:r w:rsidRPr="00EE1C11">
        <w:rPr>
          <w:b/>
          <w:color w:val="000000"/>
          <w:sz w:val="20"/>
          <w:szCs w:val="20"/>
        </w:rPr>
        <w:t>Principales hallazgos:</w:t>
      </w:r>
    </w:p>
    <w:p w14:paraId="00000009" w14:textId="2B0B2FCA" w:rsidR="007814E1" w:rsidRPr="00EE1C11" w:rsidRDefault="003B7CE0" w:rsidP="006830A1">
      <w:pPr>
        <w:numPr>
          <w:ilvl w:val="0"/>
          <w:numId w:val="1"/>
        </w:numPr>
        <w:ind w:left="714" w:hanging="357"/>
        <w:jc w:val="both"/>
        <w:rPr>
          <w:sz w:val="20"/>
          <w:szCs w:val="20"/>
        </w:rPr>
      </w:pPr>
      <w:r w:rsidRPr="00EE1C11">
        <w:rPr>
          <w:b/>
          <w:sz w:val="20"/>
          <w:szCs w:val="20"/>
        </w:rPr>
        <w:t>Riesgos físicos</w:t>
      </w:r>
      <w:r w:rsidRPr="00EE1C11">
        <w:rPr>
          <w:sz w:val="20"/>
          <w:szCs w:val="20"/>
        </w:rPr>
        <w:t>:</w:t>
      </w:r>
      <w:r w:rsidR="009B1658" w:rsidRPr="00EE1C11">
        <w:rPr>
          <w:sz w:val="20"/>
          <w:szCs w:val="20"/>
        </w:rPr>
        <w:t xml:space="preserve"> </w:t>
      </w:r>
      <w:r w:rsidR="00B53653" w:rsidRPr="00EE1C11">
        <w:rPr>
          <w:sz w:val="20"/>
          <w:szCs w:val="20"/>
        </w:rPr>
        <w:t>U</w:t>
      </w:r>
      <w:r w:rsidR="009B1658" w:rsidRPr="00EE1C11">
        <w:rPr>
          <w:sz w:val="20"/>
          <w:szCs w:val="20"/>
        </w:rPr>
        <w:t>na proporción importante de la cartera</w:t>
      </w:r>
      <w:r w:rsidR="0050560D">
        <w:rPr>
          <w:sz w:val="20"/>
          <w:szCs w:val="20"/>
        </w:rPr>
        <w:t>s</w:t>
      </w:r>
      <w:r w:rsidR="00EF03D2">
        <w:rPr>
          <w:sz w:val="20"/>
          <w:szCs w:val="20"/>
        </w:rPr>
        <w:t xml:space="preserve"> </w:t>
      </w:r>
      <w:r w:rsidR="001A296A" w:rsidRPr="00EE1C11">
        <w:rPr>
          <w:sz w:val="20"/>
          <w:szCs w:val="20"/>
        </w:rPr>
        <w:t xml:space="preserve">de créditos </w:t>
      </w:r>
      <w:r w:rsidR="009B1658" w:rsidRPr="00EE1C11">
        <w:rPr>
          <w:sz w:val="20"/>
          <w:szCs w:val="20"/>
        </w:rPr>
        <w:t xml:space="preserve">ya </w:t>
      </w:r>
      <w:r w:rsidR="001A296A" w:rsidRPr="00EE1C11">
        <w:rPr>
          <w:sz w:val="20"/>
          <w:szCs w:val="20"/>
        </w:rPr>
        <w:t>está expuestas a</w:t>
      </w:r>
      <w:r w:rsidR="009B1658" w:rsidRPr="00EE1C11">
        <w:rPr>
          <w:sz w:val="20"/>
          <w:szCs w:val="20"/>
        </w:rPr>
        <w:t xml:space="preserve"> riesgos físicos relevantes</w:t>
      </w:r>
      <w:r w:rsidR="008658C0" w:rsidRPr="00EE1C11">
        <w:rPr>
          <w:sz w:val="20"/>
          <w:szCs w:val="20"/>
        </w:rPr>
        <w:t>, los cuales se agravarían</w:t>
      </w:r>
      <w:r w:rsidR="009B1658" w:rsidRPr="00EE1C11">
        <w:rPr>
          <w:sz w:val="20"/>
          <w:szCs w:val="20"/>
        </w:rPr>
        <w:t xml:space="preserve"> </w:t>
      </w:r>
      <w:r w:rsidR="00BA17AD" w:rsidRPr="00EE1C11">
        <w:rPr>
          <w:sz w:val="20"/>
          <w:szCs w:val="20"/>
        </w:rPr>
        <w:t>en</w:t>
      </w:r>
      <w:r w:rsidR="009B1658" w:rsidRPr="00EE1C11">
        <w:rPr>
          <w:sz w:val="20"/>
          <w:szCs w:val="20"/>
        </w:rPr>
        <w:t xml:space="preserve"> el escenario llamado “</w:t>
      </w:r>
      <w:r w:rsidR="005A0AFF" w:rsidRPr="00EE1C11">
        <w:rPr>
          <w:sz w:val="20"/>
          <w:szCs w:val="20"/>
        </w:rPr>
        <w:t>P</w:t>
      </w:r>
      <w:r w:rsidR="009B1658" w:rsidRPr="00EE1C11">
        <w:rPr>
          <w:sz w:val="20"/>
          <w:szCs w:val="20"/>
        </w:rPr>
        <w:t>olíticas actuales”, que llevaría a un aumento de temperatura promedio</w:t>
      </w:r>
      <w:r w:rsidR="001A296A" w:rsidRPr="00EE1C11">
        <w:rPr>
          <w:sz w:val="20"/>
          <w:szCs w:val="20"/>
        </w:rPr>
        <w:t xml:space="preserve"> mundial</w:t>
      </w:r>
      <w:r w:rsidR="009B1658" w:rsidRPr="00EE1C11">
        <w:rPr>
          <w:sz w:val="20"/>
          <w:szCs w:val="20"/>
        </w:rPr>
        <w:t xml:space="preserve"> al mayor a 3 °C hacia finales de </w:t>
      </w:r>
      <w:r w:rsidR="001A296A" w:rsidRPr="00EE1C11">
        <w:rPr>
          <w:sz w:val="20"/>
          <w:szCs w:val="20"/>
        </w:rPr>
        <w:t xml:space="preserve">este </w:t>
      </w:r>
      <w:r w:rsidR="009B1658" w:rsidRPr="00EE1C11">
        <w:rPr>
          <w:sz w:val="20"/>
          <w:szCs w:val="20"/>
        </w:rPr>
        <w:t>siglo</w:t>
      </w:r>
      <w:r w:rsidR="001A296A" w:rsidRPr="00EE1C11">
        <w:rPr>
          <w:sz w:val="20"/>
          <w:szCs w:val="20"/>
        </w:rPr>
        <w:t xml:space="preserve"> y </w:t>
      </w:r>
      <w:r w:rsidR="006D2FC9" w:rsidRPr="00EE1C11">
        <w:rPr>
          <w:sz w:val="20"/>
          <w:szCs w:val="20"/>
        </w:rPr>
        <w:t xml:space="preserve">a </w:t>
      </w:r>
      <w:r w:rsidR="001A296A" w:rsidRPr="00EE1C11">
        <w:rPr>
          <w:sz w:val="20"/>
          <w:szCs w:val="20"/>
        </w:rPr>
        <w:t>daños económicos significativos en el producto interno bruto (PIB)</w:t>
      </w:r>
      <w:r w:rsidR="009B1658" w:rsidRPr="00EE1C11">
        <w:rPr>
          <w:sz w:val="20"/>
          <w:szCs w:val="20"/>
        </w:rPr>
        <w:t xml:space="preserve">. </w:t>
      </w:r>
      <w:r w:rsidR="001A296A" w:rsidRPr="00EE1C11">
        <w:rPr>
          <w:sz w:val="20"/>
          <w:szCs w:val="20"/>
        </w:rPr>
        <w:t>Los riesgos físicos disminuyen en escenarios de mayores políticas de descarbonización en México y el mundo.</w:t>
      </w:r>
      <w:r w:rsidR="0018376F" w:rsidRPr="00EE1C11">
        <w:rPr>
          <w:sz w:val="20"/>
          <w:szCs w:val="20"/>
        </w:rPr>
        <w:t xml:space="preserve"> </w:t>
      </w:r>
    </w:p>
    <w:p w14:paraId="2747A27A" w14:textId="10D2A0B4" w:rsidR="005A0AFF" w:rsidRPr="00EE1C11" w:rsidRDefault="003B7CE0" w:rsidP="006830A1">
      <w:pPr>
        <w:numPr>
          <w:ilvl w:val="0"/>
          <w:numId w:val="1"/>
        </w:numPr>
        <w:ind w:left="714" w:hanging="357"/>
        <w:jc w:val="both"/>
        <w:rPr>
          <w:sz w:val="20"/>
          <w:szCs w:val="20"/>
        </w:rPr>
      </w:pPr>
      <w:r w:rsidRPr="00F83A4D">
        <w:rPr>
          <w:b/>
          <w:sz w:val="20"/>
          <w:szCs w:val="20"/>
        </w:rPr>
        <w:t>Riesgos de transición</w:t>
      </w:r>
      <w:r w:rsidRPr="00F83A4D">
        <w:rPr>
          <w:sz w:val="20"/>
          <w:szCs w:val="20"/>
        </w:rPr>
        <w:t>:</w:t>
      </w:r>
      <w:r w:rsidR="00666878" w:rsidRPr="00F83A4D">
        <w:rPr>
          <w:sz w:val="20"/>
          <w:szCs w:val="20"/>
        </w:rPr>
        <w:t xml:space="preserve"> </w:t>
      </w:r>
      <w:bookmarkStart w:id="1" w:name="_shmusza5sl5p" w:colFirst="0" w:colLast="0"/>
      <w:bookmarkEnd w:id="1"/>
      <w:r w:rsidR="00954821" w:rsidRPr="00F83A4D">
        <w:rPr>
          <w:sz w:val="20"/>
          <w:szCs w:val="20"/>
        </w:rPr>
        <w:t>Más de la mitad de las carteras de acciones y créditos comerciales</w:t>
      </w:r>
      <w:r w:rsidR="005746DE" w:rsidRPr="00F83A4D">
        <w:rPr>
          <w:sz w:val="20"/>
          <w:szCs w:val="20"/>
        </w:rPr>
        <w:t xml:space="preserve"> analizadas,</w:t>
      </w:r>
      <w:r w:rsidR="00954821" w:rsidRPr="00F83A4D">
        <w:rPr>
          <w:sz w:val="20"/>
          <w:szCs w:val="20"/>
        </w:rPr>
        <w:t xml:space="preserve"> se encuentran en sectores vulnerables a políticas climáticas</w:t>
      </w:r>
      <w:r w:rsidR="00666878" w:rsidRPr="00F83A4D">
        <w:rPr>
          <w:sz w:val="20"/>
          <w:szCs w:val="20"/>
        </w:rPr>
        <w:t>, mientras que en las carteras de bonos la exposición a riesgos de transición es menor. Los sectores con mayores impactos</w:t>
      </w:r>
      <w:r w:rsidR="00517D19" w:rsidRPr="00F83A4D">
        <w:rPr>
          <w:sz w:val="20"/>
          <w:szCs w:val="20"/>
        </w:rPr>
        <w:t xml:space="preserve"> son los de</w:t>
      </w:r>
      <w:r w:rsidR="00666878" w:rsidRPr="00F83A4D">
        <w:rPr>
          <w:sz w:val="20"/>
          <w:szCs w:val="20"/>
        </w:rPr>
        <w:t xml:space="preserve"> combustibles</w:t>
      </w:r>
      <w:r w:rsidR="00666878" w:rsidRPr="00EE1C11">
        <w:rPr>
          <w:sz w:val="20"/>
          <w:szCs w:val="20"/>
        </w:rPr>
        <w:t xml:space="preserve"> fósiles, transporte, y aquellos con</w:t>
      </w:r>
      <w:r w:rsidR="006D2FC9" w:rsidRPr="00EE1C11">
        <w:rPr>
          <w:sz w:val="20"/>
          <w:szCs w:val="20"/>
        </w:rPr>
        <w:t xml:space="preserve"> un</w:t>
      </w:r>
      <w:r w:rsidR="00666878" w:rsidRPr="00EE1C11">
        <w:rPr>
          <w:sz w:val="20"/>
          <w:szCs w:val="20"/>
        </w:rPr>
        <w:t xml:space="preserve"> uso intensivo de energía.</w:t>
      </w:r>
    </w:p>
    <w:p w14:paraId="09EEAA1D" w14:textId="0403D79F" w:rsidR="008708A5" w:rsidRDefault="003B7CE0" w:rsidP="00EE1C11">
      <w:pPr>
        <w:spacing w:after="80"/>
        <w:jc w:val="both"/>
        <w:rPr>
          <w:sz w:val="20"/>
          <w:szCs w:val="20"/>
        </w:rPr>
      </w:pPr>
      <w:r w:rsidRPr="00EE1C11">
        <w:rPr>
          <w:sz w:val="20"/>
          <w:szCs w:val="20"/>
        </w:rPr>
        <w:t xml:space="preserve">Las instituciones participantes valoraron positivamente su experiencia en el </w:t>
      </w:r>
      <w:r w:rsidR="00B06C31" w:rsidRPr="00EE1C11">
        <w:rPr>
          <w:sz w:val="20"/>
          <w:szCs w:val="20"/>
        </w:rPr>
        <w:t>ejercicio</w:t>
      </w:r>
      <w:r w:rsidR="00B53653" w:rsidRPr="00EE1C11">
        <w:rPr>
          <w:sz w:val="20"/>
          <w:szCs w:val="20"/>
        </w:rPr>
        <w:t xml:space="preserve"> </w:t>
      </w:r>
      <w:r w:rsidRPr="00EE1C11">
        <w:rPr>
          <w:sz w:val="20"/>
          <w:szCs w:val="20"/>
        </w:rPr>
        <w:t>Piloto</w:t>
      </w:r>
      <w:r w:rsidR="006D2FC9" w:rsidRPr="00EE1C11">
        <w:rPr>
          <w:sz w:val="20"/>
          <w:szCs w:val="20"/>
        </w:rPr>
        <w:t>.</w:t>
      </w:r>
      <w:r w:rsidRPr="00EE1C11">
        <w:rPr>
          <w:sz w:val="20"/>
          <w:szCs w:val="20"/>
        </w:rPr>
        <w:t xml:space="preserve"> </w:t>
      </w:r>
      <w:r w:rsidR="006D2FC9" w:rsidRPr="00EE1C11">
        <w:rPr>
          <w:sz w:val="20"/>
          <w:szCs w:val="20"/>
        </w:rPr>
        <w:t xml:space="preserve">Destacaron </w:t>
      </w:r>
      <w:r w:rsidRPr="00EE1C11">
        <w:rPr>
          <w:sz w:val="20"/>
          <w:szCs w:val="20"/>
        </w:rPr>
        <w:t xml:space="preserve">el fortalecimiento de </w:t>
      </w:r>
      <w:r w:rsidR="006D2FC9" w:rsidRPr="00EE1C11">
        <w:rPr>
          <w:sz w:val="20"/>
          <w:szCs w:val="20"/>
        </w:rPr>
        <w:t xml:space="preserve">las </w:t>
      </w:r>
      <w:r w:rsidRPr="00EE1C11">
        <w:rPr>
          <w:sz w:val="20"/>
          <w:szCs w:val="20"/>
        </w:rPr>
        <w:t xml:space="preserve">capacidades internas, la utilidad de los materiales metodológicos y el aprendizaje técnico adquirido. </w:t>
      </w:r>
      <w:r w:rsidR="00B06C31" w:rsidRPr="00EE1C11">
        <w:rPr>
          <w:sz w:val="20"/>
          <w:szCs w:val="20"/>
        </w:rPr>
        <w:t>Al mismo tiempo</w:t>
      </w:r>
      <w:r w:rsidR="003A7A9A" w:rsidRPr="00EE1C11">
        <w:rPr>
          <w:sz w:val="20"/>
          <w:szCs w:val="20"/>
        </w:rPr>
        <w:t xml:space="preserve">, </w:t>
      </w:r>
      <w:r w:rsidR="00BA17AD" w:rsidRPr="00EE1C11">
        <w:rPr>
          <w:sz w:val="20"/>
          <w:szCs w:val="20"/>
        </w:rPr>
        <w:t>reconocieron</w:t>
      </w:r>
      <w:r w:rsidR="00B53653" w:rsidRPr="00EE1C11">
        <w:rPr>
          <w:sz w:val="20"/>
          <w:szCs w:val="20"/>
        </w:rPr>
        <w:t xml:space="preserve"> que es necesario </w:t>
      </w:r>
      <w:r w:rsidR="00BA17AD" w:rsidRPr="00EE1C11">
        <w:rPr>
          <w:sz w:val="20"/>
          <w:szCs w:val="20"/>
        </w:rPr>
        <w:t xml:space="preserve">mejorar </w:t>
      </w:r>
      <w:r w:rsidR="00B53653" w:rsidRPr="00EE1C11">
        <w:rPr>
          <w:sz w:val="20"/>
          <w:szCs w:val="20"/>
        </w:rPr>
        <w:t xml:space="preserve">la calidad de los datos, ampliar la disponibilidad de personal especializado y </w:t>
      </w:r>
      <w:r w:rsidR="003A7A9A" w:rsidRPr="00EE1C11">
        <w:rPr>
          <w:sz w:val="20"/>
          <w:szCs w:val="20"/>
        </w:rPr>
        <w:t xml:space="preserve">desarrollar </w:t>
      </w:r>
      <w:r w:rsidR="008708A5">
        <w:rPr>
          <w:sz w:val="20"/>
          <w:szCs w:val="20"/>
        </w:rPr>
        <w:t xml:space="preserve">capacidades </w:t>
      </w:r>
      <w:r w:rsidR="00B53653" w:rsidRPr="00EE1C11">
        <w:rPr>
          <w:sz w:val="20"/>
          <w:szCs w:val="20"/>
        </w:rPr>
        <w:t xml:space="preserve">de interpretación de resultados complejos. </w:t>
      </w:r>
      <w:r w:rsidRPr="00EE1C11">
        <w:rPr>
          <w:sz w:val="20"/>
          <w:szCs w:val="20"/>
        </w:rPr>
        <w:t xml:space="preserve">Los resultados, aprendizajes y recomendaciones derivados del ejercicio </w:t>
      </w:r>
      <w:r w:rsidR="008322AC" w:rsidRPr="00EE1C11">
        <w:rPr>
          <w:sz w:val="20"/>
          <w:szCs w:val="20"/>
        </w:rPr>
        <w:t>para atender</w:t>
      </w:r>
      <w:r w:rsidR="00BA17AD" w:rsidRPr="00EE1C11">
        <w:rPr>
          <w:sz w:val="20"/>
          <w:szCs w:val="20"/>
        </w:rPr>
        <w:t xml:space="preserve"> las</w:t>
      </w:r>
      <w:r w:rsidR="008322AC" w:rsidRPr="00EE1C11">
        <w:rPr>
          <w:sz w:val="20"/>
          <w:szCs w:val="20"/>
        </w:rPr>
        <w:t xml:space="preserve"> brechas identificadas</w:t>
      </w:r>
      <w:r w:rsidR="00BA17AD" w:rsidRPr="00EE1C11">
        <w:rPr>
          <w:sz w:val="20"/>
          <w:szCs w:val="20"/>
        </w:rPr>
        <w:t>,</w:t>
      </w:r>
      <w:r w:rsidR="008322AC" w:rsidRPr="00EE1C11">
        <w:rPr>
          <w:sz w:val="20"/>
          <w:szCs w:val="20"/>
        </w:rPr>
        <w:t xml:space="preserve"> </w:t>
      </w:r>
      <w:r w:rsidRPr="00EE1C11">
        <w:rPr>
          <w:sz w:val="20"/>
          <w:szCs w:val="20"/>
        </w:rPr>
        <w:t xml:space="preserve">han sido recopilados en un informe completo  </w:t>
      </w:r>
      <w:r w:rsidRPr="00742DF3">
        <w:rPr>
          <w:sz w:val="20"/>
          <w:szCs w:val="20"/>
        </w:rPr>
        <w:t>disponible</w:t>
      </w:r>
      <w:r w:rsidR="00742DF3" w:rsidRPr="00742DF3">
        <w:rPr>
          <w:sz w:val="20"/>
          <w:szCs w:val="20"/>
        </w:rPr>
        <w:t xml:space="preserve"> </w:t>
      </w:r>
      <w:hyperlink r:id="rId8" w:history="1">
        <w:r w:rsidR="00742DF3" w:rsidRPr="00742DF3">
          <w:rPr>
            <w:rStyle w:val="Hipervnculo"/>
            <w:sz w:val="20"/>
            <w:szCs w:val="20"/>
          </w:rPr>
          <w:t>aquí</w:t>
        </w:r>
      </w:hyperlink>
      <w:r w:rsidR="008A38FC" w:rsidRPr="00742DF3">
        <w:rPr>
          <w:sz w:val="20"/>
          <w:szCs w:val="20"/>
        </w:rPr>
        <w:t>.</w:t>
      </w:r>
    </w:p>
    <w:p w14:paraId="0000000F" w14:textId="3C276A38" w:rsidR="007814E1" w:rsidRPr="00EE1C11" w:rsidRDefault="003B7CE0" w:rsidP="00EE1C11">
      <w:pPr>
        <w:spacing w:after="80"/>
        <w:jc w:val="both"/>
        <w:rPr>
          <w:sz w:val="20"/>
          <w:szCs w:val="20"/>
        </w:rPr>
      </w:pPr>
      <w:r w:rsidRPr="00EE1C11">
        <w:rPr>
          <w:sz w:val="20"/>
          <w:szCs w:val="20"/>
        </w:rPr>
        <w:t xml:space="preserve">Este esfuerzo </w:t>
      </w:r>
      <w:r w:rsidR="00BA17AD" w:rsidRPr="00EE1C11">
        <w:rPr>
          <w:sz w:val="20"/>
          <w:szCs w:val="20"/>
        </w:rPr>
        <w:t xml:space="preserve">es </w:t>
      </w:r>
      <w:r w:rsidRPr="00EE1C11">
        <w:rPr>
          <w:sz w:val="20"/>
          <w:szCs w:val="20"/>
        </w:rPr>
        <w:t xml:space="preserve">un paso importante hacia </w:t>
      </w:r>
      <w:r w:rsidR="00BA17AD" w:rsidRPr="00EE1C11">
        <w:rPr>
          <w:sz w:val="20"/>
          <w:szCs w:val="20"/>
        </w:rPr>
        <w:t xml:space="preserve">la consolidación de </w:t>
      </w:r>
      <w:r w:rsidR="00B53653" w:rsidRPr="00EE1C11">
        <w:rPr>
          <w:sz w:val="20"/>
          <w:szCs w:val="20"/>
        </w:rPr>
        <w:t xml:space="preserve">un sistema financiero mexicano más resiliente frente </w:t>
      </w:r>
      <w:r w:rsidRPr="00EE1C11">
        <w:rPr>
          <w:sz w:val="20"/>
          <w:szCs w:val="20"/>
        </w:rPr>
        <w:t xml:space="preserve">al cambio climático, y sienta las bases para una adopción más amplia y efectiva de herramientas de </w:t>
      </w:r>
      <w:r w:rsidR="008708A5">
        <w:rPr>
          <w:sz w:val="20"/>
          <w:szCs w:val="20"/>
        </w:rPr>
        <w:t xml:space="preserve">uso común para el </w:t>
      </w:r>
      <w:r w:rsidRPr="00EE1C11">
        <w:rPr>
          <w:sz w:val="20"/>
          <w:szCs w:val="20"/>
        </w:rPr>
        <w:t>análisis de riesgos climáticos</w:t>
      </w:r>
      <w:r w:rsidR="008708A5">
        <w:rPr>
          <w:sz w:val="20"/>
          <w:szCs w:val="20"/>
        </w:rPr>
        <w:t xml:space="preserve"> en carteras </w:t>
      </w:r>
      <w:r w:rsidR="001066A2">
        <w:rPr>
          <w:sz w:val="20"/>
          <w:szCs w:val="20"/>
        </w:rPr>
        <w:t xml:space="preserve">de crédito </w:t>
      </w:r>
      <w:r w:rsidR="008708A5">
        <w:rPr>
          <w:sz w:val="20"/>
          <w:szCs w:val="20"/>
        </w:rPr>
        <w:t>y portafolios de inversión.</w:t>
      </w:r>
    </w:p>
    <w:sectPr w:rsidR="007814E1" w:rsidRPr="00EE1C11" w:rsidSect="00722B13">
      <w:headerReference w:type="default" r:id="rId9"/>
      <w:pgSz w:w="11909" w:h="16834"/>
      <w:pgMar w:top="1440" w:right="1255"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D6B0" w14:textId="77777777" w:rsidR="002164C8" w:rsidRDefault="002164C8" w:rsidP="00C706A3">
      <w:pPr>
        <w:spacing w:line="240" w:lineRule="auto"/>
      </w:pPr>
      <w:r>
        <w:separator/>
      </w:r>
    </w:p>
  </w:endnote>
  <w:endnote w:type="continuationSeparator" w:id="0">
    <w:p w14:paraId="21F1377B" w14:textId="77777777" w:rsidR="002164C8" w:rsidRDefault="002164C8" w:rsidP="00C7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7277" w14:textId="77777777" w:rsidR="002164C8" w:rsidRDefault="002164C8" w:rsidP="00C706A3">
      <w:pPr>
        <w:spacing w:line="240" w:lineRule="auto"/>
      </w:pPr>
      <w:r>
        <w:separator/>
      </w:r>
    </w:p>
  </w:footnote>
  <w:footnote w:type="continuationSeparator" w:id="0">
    <w:p w14:paraId="0A53CF12" w14:textId="77777777" w:rsidR="002164C8" w:rsidRDefault="002164C8" w:rsidP="00C706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1B86" w14:textId="3F0ED2E5" w:rsidR="00C706A3" w:rsidRDefault="00EE1C11">
    <w:pPr>
      <w:pStyle w:val="Encabezado"/>
    </w:pPr>
    <w:r>
      <w:rPr>
        <w:noProof/>
      </w:rPr>
      <w:drawing>
        <wp:anchor distT="0" distB="0" distL="114300" distR="114300" simplePos="0" relativeHeight="251665408" behindDoc="1" locked="0" layoutInCell="1" allowOverlap="1" wp14:anchorId="26F26E89" wp14:editId="2A1C1354">
          <wp:simplePos x="0" y="0"/>
          <wp:positionH relativeFrom="column">
            <wp:posOffset>3655957</wp:posOffset>
          </wp:positionH>
          <wp:positionV relativeFrom="paragraph">
            <wp:posOffset>-372970</wp:posOffset>
          </wp:positionV>
          <wp:extent cx="676910" cy="823595"/>
          <wp:effectExtent l="0" t="0" r="0" b="1905"/>
          <wp:wrapNone/>
          <wp:docPr id="1174092691" name="Picture 3" descr="A logo of a united nations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92691" name="Picture 3" descr="A logo of a united nations organiz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6910" cy="8235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77DA36B" wp14:editId="4D6B0786">
          <wp:simplePos x="0" y="0"/>
          <wp:positionH relativeFrom="column">
            <wp:posOffset>1505622</wp:posOffset>
          </wp:positionH>
          <wp:positionV relativeFrom="paragraph">
            <wp:posOffset>-316268</wp:posOffset>
          </wp:positionV>
          <wp:extent cx="1968500" cy="662940"/>
          <wp:effectExtent l="0" t="0" r="0" b="0"/>
          <wp:wrapNone/>
          <wp:docPr id="1762522591" name="Picture 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descr="A red and black logo&#10;&#10;Description automatically generated"/>
                  <pic:cNvPicPr>
                    <a:picLocks/>
                  </pic:cNvPicPr>
                </pic:nvPicPr>
                <pic:blipFill rotWithShape="1">
                  <a:blip r:embed="rId2">
                    <a:extLst>
                      <a:ext uri="{28A0092B-C50C-407E-A947-70E740481C1C}">
                        <a14:useLocalDpi xmlns:a14="http://schemas.microsoft.com/office/drawing/2010/main" val="0"/>
                      </a:ext>
                    </a:extLst>
                  </a:blip>
                  <a:srcRect l="10768" r="33198" b="7936"/>
                  <a:stretch/>
                </pic:blipFill>
                <pic:spPr bwMode="auto">
                  <a:xfrm>
                    <a:off x="0" y="0"/>
                    <a:ext cx="1968500" cy="662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BA769E4" wp14:editId="4BDA53B4">
          <wp:simplePos x="0" y="0"/>
          <wp:positionH relativeFrom="column">
            <wp:posOffset>4796790</wp:posOffset>
          </wp:positionH>
          <wp:positionV relativeFrom="paragraph">
            <wp:posOffset>-322804</wp:posOffset>
          </wp:positionV>
          <wp:extent cx="1293495" cy="770255"/>
          <wp:effectExtent l="0" t="0" r="1905" b="4445"/>
          <wp:wrapNone/>
          <wp:docPr id="6093273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27327" name="Picture 1"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293495" cy="770255"/>
                  </a:xfrm>
                  <a:prstGeom prst="rect">
                    <a:avLst/>
                  </a:prstGeom>
                </pic:spPr>
              </pic:pic>
            </a:graphicData>
          </a:graphic>
          <wp14:sizeRelH relativeFrom="page">
            <wp14:pctWidth>0</wp14:pctWidth>
          </wp14:sizeRelH>
          <wp14:sizeRelV relativeFrom="page">
            <wp14:pctHeight>0</wp14:pctHeight>
          </wp14:sizeRelV>
        </wp:anchor>
      </w:drawing>
    </w:r>
    <w:r w:rsidR="00C706A3">
      <w:rPr>
        <w:noProof/>
      </w:rPr>
      <w:drawing>
        <wp:anchor distT="0" distB="0" distL="114300" distR="114300" simplePos="0" relativeHeight="251659264" behindDoc="0" locked="0" layoutInCell="1" allowOverlap="1" wp14:anchorId="3702812D" wp14:editId="3905E3CB">
          <wp:simplePos x="0" y="0"/>
          <wp:positionH relativeFrom="column">
            <wp:posOffset>0</wp:posOffset>
          </wp:positionH>
          <wp:positionV relativeFrom="paragraph">
            <wp:posOffset>-231140</wp:posOffset>
          </wp:positionV>
          <wp:extent cx="1299845" cy="568325"/>
          <wp:effectExtent l="0" t="0" r="0" b="3175"/>
          <wp:wrapNone/>
          <wp:docPr id="6" name="image1.png" descr="A green arrows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A green arrows on a black background&#10;&#10;Description automatically generated"/>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1299845" cy="56832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D7928"/>
    <w:multiLevelType w:val="multilevel"/>
    <w:tmpl w:val="6CDE0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27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4E1"/>
    <w:rsid w:val="0005527A"/>
    <w:rsid w:val="000A2C4E"/>
    <w:rsid w:val="000A5EBE"/>
    <w:rsid w:val="001066A2"/>
    <w:rsid w:val="00125986"/>
    <w:rsid w:val="0018376F"/>
    <w:rsid w:val="001A296A"/>
    <w:rsid w:val="001A486B"/>
    <w:rsid w:val="002164C8"/>
    <w:rsid w:val="002A0CBE"/>
    <w:rsid w:val="002E340C"/>
    <w:rsid w:val="003A126D"/>
    <w:rsid w:val="003A7A9A"/>
    <w:rsid w:val="003B7CE0"/>
    <w:rsid w:val="004360C1"/>
    <w:rsid w:val="0050560D"/>
    <w:rsid w:val="00506CC0"/>
    <w:rsid w:val="00517D19"/>
    <w:rsid w:val="005528B0"/>
    <w:rsid w:val="005746DE"/>
    <w:rsid w:val="00580FD6"/>
    <w:rsid w:val="005A0AFF"/>
    <w:rsid w:val="005C2933"/>
    <w:rsid w:val="005C707B"/>
    <w:rsid w:val="00630A60"/>
    <w:rsid w:val="006418BA"/>
    <w:rsid w:val="00666878"/>
    <w:rsid w:val="00677D86"/>
    <w:rsid w:val="006830A1"/>
    <w:rsid w:val="006D2FC9"/>
    <w:rsid w:val="006E4CAB"/>
    <w:rsid w:val="00704A7D"/>
    <w:rsid w:val="00722B13"/>
    <w:rsid w:val="00742DF3"/>
    <w:rsid w:val="007814E1"/>
    <w:rsid w:val="007D41E0"/>
    <w:rsid w:val="00805542"/>
    <w:rsid w:val="008246E6"/>
    <w:rsid w:val="00826262"/>
    <w:rsid w:val="008322AC"/>
    <w:rsid w:val="00852297"/>
    <w:rsid w:val="008658C0"/>
    <w:rsid w:val="008708A5"/>
    <w:rsid w:val="008A38FC"/>
    <w:rsid w:val="008C1AF4"/>
    <w:rsid w:val="00940541"/>
    <w:rsid w:val="00954821"/>
    <w:rsid w:val="009B1658"/>
    <w:rsid w:val="00A16E10"/>
    <w:rsid w:val="00A21010"/>
    <w:rsid w:val="00B06C31"/>
    <w:rsid w:val="00B15A00"/>
    <w:rsid w:val="00B35D5B"/>
    <w:rsid w:val="00B53653"/>
    <w:rsid w:val="00B6716F"/>
    <w:rsid w:val="00BA17AD"/>
    <w:rsid w:val="00C706A3"/>
    <w:rsid w:val="00CC2C40"/>
    <w:rsid w:val="00CE1CE7"/>
    <w:rsid w:val="00D45D42"/>
    <w:rsid w:val="00DA2ECE"/>
    <w:rsid w:val="00E46917"/>
    <w:rsid w:val="00E66996"/>
    <w:rsid w:val="00E700A3"/>
    <w:rsid w:val="00E801EE"/>
    <w:rsid w:val="00EB2476"/>
    <w:rsid w:val="00EE1C11"/>
    <w:rsid w:val="00EF03D2"/>
    <w:rsid w:val="00F20FE6"/>
    <w:rsid w:val="00F27FF3"/>
    <w:rsid w:val="00F80ADF"/>
    <w:rsid w:val="00F83A4D"/>
    <w:rsid w:val="00FA643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7468"/>
  <w15:docId w15:val="{D1A803C7-F1B1-E14D-9360-745EC6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C706A3"/>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C706A3"/>
  </w:style>
  <w:style w:type="paragraph" w:styleId="Piedepgina">
    <w:name w:val="footer"/>
    <w:basedOn w:val="Normal"/>
    <w:link w:val="PiedepginaCar"/>
    <w:uiPriority w:val="99"/>
    <w:unhideWhenUsed/>
    <w:rsid w:val="00C706A3"/>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C706A3"/>
  </w:style>
  <w:style w:type="character" w:styleId="Refdecomentario">
    <w:name w:val="annotation reference"/>
    <w:basedOn w:val="Fuentedeprrafopredeter"/>
    <w:uiPriority w:val="99"/>
    <w:semiHidden/>
    <w:unhideWhenUsed/>
    <w:rsid w:val="00B6716F"/>
    <w:rPr>
      <w:sz w:val="16"/>
      <w:szCs w:val="16"/>
    </w:rPr>
  </w:style>
  <w:style w:type="paragraph" w:styleId="Textocomentario">
    <w:name w:val="annotation text"/>
    <w:basedOn w:val="Normal"/>
    <w:link w:val="TextocomentarioCar"/>
    <w:uiPriority w:val="99"/>
    <w:unhideWhenUsed/>
    <w:rsid w:val="00B6716F"/>
    <w:pPr>
      <w:spacing w:line="240" w:lineRule="auto"/>
    </w:pPr>
    <w:rPr>
      <w:sz w:val="20"/>
      <w:szCs w:val="20"/>
    </w:rPr>
  </w:style>
  <w:style w:type="character" w:customStyle="1" w:styleId="TextocomentarioCar">
    <w:name w:val="Texto comentario Car"/>
    <w:basedOn w:val="Fuentedeprrafopredeter"/>
    <w:link w:val="Textocomentario"/>
    <w:uiPriority w:val="99"/>
    <w:rsid w:val="00B6716F"/>
    <w:rPr>
      <w:sz w:val="20"/>
      <w:szCs w:val="20"/>
    </w:rPr>
  </w:style>
  <w:style w:type="paragraph" w:styleId="Asuntodelcomentario">
    <w:name w:val="annotation subject"/>
    <w:basedOn w:val="Textocomentario"/>
    <w:next w:val="Textocomentario"/>
    <w:link w:val="AsuntodelcomentarioCar"/>
    <w:uiPriority w:val="99"/>
    <w:semiHidden/>
    <w:unhideWhenUsed/>
    <w:rsid w:val="00B6716F"/>
    <w:rPr>
      <w:b/>
      <w:bCs/>
    </w:rPr>
  </w:style>
  <w:style w:type="character" w:customStyle="1" w:styleId="AsuntodelcomentarioCar">
    <w:name w:val="Asunto del comentario Car"/>
    <w:basedOn w:val="TextocomentarioCar"/>
    <w:link w:val="Asuntodelcomentario"/>
    <w:uiPriority w:val="99"/>
    <w:semiHidden/>
    <w:rsid w:val="00B6716F"/>
    <w:rPr>
      <w:b/>
      <w:bCs/>
      <w:sz w:val="20"/>
      <w:szCs w:val="20"/>
    </w:rPr>
  </w:style>
  <w:style w:type="paragraph" w:styleId="Revisin">
    <w:name w:val="Revision"/>
    <w:hidden/>
    <w:uiPriority w:val="99"/>
    <w:semiHidden/>
    <w:rsid w:val="003A126D"/>
    <w:pPr>
      <w:spacing w:line="240" w:lineRule="auto"/>
    </w:pPr>
  </w:style>
  <w:style w:type="character" w:styleId="Hipervnculo">
    <w:name w:val="Hyperlink"/>
    <w:basedOn w:val="Fuentedeprrafopredeter"/>
    <w:uiPriority w:val="99"/>
    <w:unhideWhenUsed/>
    <w:rsid w:val="001A296A"/>
    <w:rPr>
      <w:color w:val="0000FF"/>
      <w:u w:val="single"/>
    </w:rPr>
  </w:style>
  <w:style w:type="paragraph" w:styleId="Textonotapie">
    <w:name w:val="footnote text"/>
    <w:basedOn w:val="Normal"/>
    <w:link w:val="TextonotapieCar"/>
    <w:uiPriority w:val="99"/>
    <w:semiHidden/>
    <w:unhideWhenUsed/>
    <w:rsid w:val="00EE1C11"/>
    <w:pPr>
      <w:spacing w:line="240" w:lineRule="auto"/>
    </w:pPr>
    <w:rPr>
      <w:sz w:val="20"/>
      <w:szCs w:val="20"/>
    </w:rPr>
  </w:style>
  <w:style w:type="character" w:customStyle="1" w:styleId="TextonotapieCar">
    <w:name w:val="Texto nota pie Car"/>
    <w:basedOn w:val="Fuentedeprrafopredeter"/>
    <w:link w:val="Textonotapie"/>
    <w:uiPriority w:val="99"/>
    <w:semiHidden/>
    <w:rsid w:val="00EE1C11"/>
    <w:rPr>
      <w:sz w:val="20"/>
      <w:szCs w:val="20"/>
    </w:rPr>
  </w:style>
  <w:style w:type="character" w:styleId="Refdenotaalpie">
    <w:name w:val="footnote reference"/>
    <w:basedOn w:val="Fuentedeprrafopredeter"/>
    <w:uiPriority w:val="99"/>
    <w:semiHidden/>
    <w:unhideWhenUsed/>
    <w:rsid w:val="00EE1C11"/>
    <w:rPr>
      <w:vertAlign w:val="superscript"/>
    </w:rPr>
  </w:style>
  <w:style w:type="character" w:styleId="Mencinsinresolver">
    <w:name w:val="Unresolved Mention"/>
    <w:basedOn w:val="Fuentedeprrafopredeter"/>
    <w:uiPriority w:val="99"/>
    <w:semiHidden/>
    <w:unhideWhenUsed/>
    <w:rsid w:val="008A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mfs.org.mx/reportes/reporte-final-aprendizajes-y-barreras-del-primer-piloto-de-analisis-de-escenarios-climaticospar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1BF8C-CCF7-4249-9A84-D6427E43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3371</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moles</dc:creator>
  <cp:lastModifiedBy>Yolanda Mabel Dávila Martínez</cp:lastModifiedBy>
  <cp:revision>2</cp:revision>
  <dcterms:created xsi:type="dcterms:W3CDTF">2025-08-22T17:49:00Z</dcterms:created>
  <dcterms:modified xsi:type="dcterms:W3CDTF">2025-08-22T17:49:00Z</dcterms:modified>
</cp:coreProperties>
</file>